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1D932" w14:textId="33F1FE8D" w:rsidR="003C4BF1" w:rsidRPr="003C4BF1" w:rsidRDefault="003C4BF1" w:rsidP="003C4BF1">
      <w:pPr>
        <w:pStyle w:val="a3"/>
        <w:tabs>
          <w:tab w:val="right" w:pos="9639"/>
        </w:tabs>
        <w:rPr>
          <w:rFonts w:eastAsia="MS Mincho"/>
          <w:noProof w:val="0"/>
          <w:sz w:val="24"/>
          <w:szCs w:val="24"/>
          <w:lang w:val="en-GB" w:eastAsia="en-GB"/>
        </w:rPr>
      </w:pPr>
      <w:r w:rsidRPr="003C4BF1">
        <w:rPr>
          <w:rFonts w:eastAsia="MS Mincho"/>
          <w:noProof w:val="0"/>
          <w:sz w:val="24"/>
          <w:szCs w:val="24"/>
          <w:lang w:val="en-GB" w:eastAsia="en-GB"/>
        </w:rPr>
        <w:t>3GPP TSG-RAN WG2 Meeting #121</w:t>
      </w:r>
      <w:r w:rsidRPr="003C4BF1">
        <w:rPr>
          <w:rFonts w:eastAsia="MS Mincho"/>
          <w:noProof w:val="0"/>
          <w:sz w:val="24"/>
          <w:szCs w:val="24"/>
          <w:lang w:val="en-GB" w:eastAsia="en-GB"/>
        </w:rPr>
        <w:tab/>
      </w:r>
      <w:r w:rsidR="00316878" w:rsidRPr="00316878">
        <w:rPr>
          <w:rFonts w:eastAsia="MS Mincho"/>
          <w:noProof w:val="0"/>
          <w:sz w:val="24"/>
          <w:szCs w:val="24"/>
          <w:lang w:val="en-GB" w:eastAsia="en-GB"/>
        </w:rPr>
        <w:t>R2-230098</w:t>
      </w:r>
      <w:r w:rsidR="00316878">
        <w:rPr>
          <w:rFonts w:eastAsia="MS Mincho"/>
          <w:noProof w:val="0"/>
          <w:sz w:val="24"/>
          <w:szCs w:val="24"/>
          <w:lang w:val="en-GB" w:eastAsia="en-GB"/>
        </w:rPr>
        <w:t>5</w:t>
      </w:r>
    </w:p>
    <w:p w14:paraId="4AA29EF9" w14:textId="0E85FF36" w:rsidR="00934AFD" w:rsidRPr="001C7FAA" w:rsidRDefault="003C4BF1" w:rsidP="003C4BF1">
      <w:pPr>
        <w:pStyle w:val="a3"/>
        <w:tabs>
          <w:tab w:val="right" w:pos="9639"/>
        </w:tabs>
        <w:jc w:val="both"/>
        <w:rPr>
          <w:rFonts w:cs="Arial"/>
          <w:b w:val="0"/>
          <w:bCs/>
          <w:i/>
          <w:iCs/>
          <w:sz w:val="24"/>
          <w:lang w:eastAsia="zh-CN"/>
        </w:rPr>
      </w:pPr>
      <w:r w:rsidRPr="003C4BF1">
        <w:rPr>
          <w:rFonts w:eastAsia="MS Mincho"/>
          <w:noProof w:val="0"/>
          <w:sz w:val="24"/>
          <w:szCs w:val="24"/>
          <w:lang w:val="en-GB" w:eastAsia="en-GB"/>
        </w:rPr>
        <w:t>Athens, Greece, February-March 202</w:t>
      </w:r>
      <w:r w:rsidR="000B371C">
        <w:rPr>
          <w:rFonts w:eastAsia="MS Mincho"/>
          <w:noProof w:val="0"/>
          <w:sz w:val="24"/>
          <w:szCs w:val="24"/>
          <w:lang w:val="en-GB" w:eastAsia="en-GB"/>
        </w:rPr>
        <w:t>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655D217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DB7CFD">
        <w:rPr>
          <w:rFonts w:eastAsia="宋体" w:cs="Arial"/>
          <w:b/>
          <w:bCs/>
          <w:kern w:val="2"/>
          <w:sz w:val="24"/>
          <w:szCs w:val="22"/>
          <w:lang w:val="en-US" w:eastAsia="zh-CN"/>
        </w:rPr>
        <w:t>7.4.2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3B6A9D9"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B7CFD" w:rsidRPr="00DB7CFD">
        <w:rPr>
          <w:rFonts w:ascii="Arial" w:hAnsi="Arial" w:cs="Arial"/>
          <w:b/>
          <w:bCs/>
          <w:sz w:val="24"/>
        </w:rPr>
        <w:t>Considerations on common signalling for CONNECTED mobility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5535F5C1" w:rsidR="00D564BF" w:rsidRPr="00C74931" w:rsidRDefault="009F55FB" w:rsidP="000B6AD1">
      <w:pPr>
        <w:rPr>
          <w:rFonts w:ascii="Times New Roman" w:hAnsi="Times New Roman"/>
          <w:sz w:val="22"/>
        </w:rPr>
      </w:pPr>
      <w:r w:rsidRPr="00C74931">
        <w:rPr>
          <w:rFonts w:ascii="Times New Roman" w:hAnsi="Times New Roman" w:hint="eastAsia"/>
          <w:sz w:val="22"/>
        </w:rPr>
        <w:t xml:space="preserve">The </w:t>
      </w:r>
      <w:r w:rsidRPr="00C74931">
        <w:rPr>
          <w:rFonts w:ascii="Times New Roman" w:hAnsi="Times New Roman"/>
          <w:sz w:val="22"/>
        </w:rPr>
        <w:t>latest RAN2#</w:t>
      </w:r>
      <w:r w:rsidR="0034529D" w:rsidRPr="00C74931">
        <w:rPr>
          <w:rFonts w:ascii="Times New Roman" w:hAnsi="Times New Roman"/>
          <w:sz w:val="22"/>
        </w:rPr>
        <w:t>119bis</w:t>
      </w:r>
      <w:r w:rsidRPr="00C74931">
        <w:rPr>
          <w:rFonts w:ascii="Times New Roman" w:hAnsi="Times New Roman"/>
          <w:sz w:val="22"/>
        </w:rPr>
        <w:t xml:space="preserve"> meeting made the following agreements regarding</w:t>
      </w:r>
      <w:r w:rsidR="00BD756E" w:rsidRPr="00C74931">
        <w:rPr>
          <w:sz w:val="22"/>
        </w:rPr>
        <w:t xml:space="preserve"> </w:t>
      </w:r>
      <w:r w:rsidR="00406795" w:rsidRPr="00C74931">
        <w:rPr>
          <w:rFonts w:ascii="Times New Roman" w:hAnsi="Times New Roman"/>
          <w:sz w:val="22"/>
        </w:rPr>
        <w:t>common signalling for CONNECTED mobility in NTN</w:t>
      </w:r>
      <w:r w:rsidR="009B4F09" w:rsidRPr="00C74931">
        <w:rPr>
          <w:rFonts w:ascii="Times New Roman" w:hAnsi="Times New Roman"/>
          <w:sz w:val="22"/>
        </w:rPr>
        <w:t>:</w:t>
      </w:r>
    </w:p>
    <w:tbl>
      <w:tblPr>
        <w:tblStyle w:val="af1"/>
        <w:tblW w:w="0" w:type="auto"/>
        <w:tblLook w:val="04A0" w:firstRow="1" w:lastRow="0" w:firstColumn="1" w:lastColumn="0" w:noHBand="0" w:noVBand="1"/>
      </w:tblPr>
      <w:tblGrid>
        <w:gridCol w:w="9629"/>
      </w:tblGrid>
      <w:tr w:rsidR="009B4F09" w:rsidRPr="00C74931" w14:paraId="4A913ABB" w14:textId="77777777" w:rsidTr="009B4F09">
        <w:tc>
          <w:tcPr>
            <w:tcW w:w="9629" w:type="dxa"/>
          </w:tcPr>
          <w:p w14:paraId="73316F8C" w14:textId="2AE17022" w:rsidR="00DA7F76" w:rsidRPr="00C74931" w:rsidRDefault="0034529D">
            <w:pPr>
              <w:pStyle w:val="a6"/>
              <w:numPr>
                <w:ilvl w:val="0"/>
                <w:numId w:val="7"/>
              </w:numPr>
              <w:spacing w:after="0"/>
              <w:ind w:firstLineChars="0"/>
              <w:rPr>
                <w:bCs/>
                <w:sz w:val="22"/>
                <w:szCs w:val="22"/>
              </w:rPr>
            </w:pPr>
            <w:r w:rsidRPr="00C74931">
              <w:rPr>
                <w:bCs/>
                <w:sz w:val="22"/>
                <w:szCs w:val="22"/>
              </w:rPr>
              <w:t>RAN2 can further consider whether some information in the handover command that can be common to all UEs, can be delivered to UEs in common signalling and if there is real benefit (in terms of signalling overhead reduction) in this</w:t>
            </w:r>
          </w:p>
        </w:tc>
      </w:tr>
    </w:tbl>
    <w:p w14:paraId="6DA7073D" w14:textId="52C73521" w:rsidR="009B4F09" w:rsidRPr="00C74931" w:rsidRDefault="009B4F09" w:rsidP="000B6AD1">
      <w:pPr>
        <w:rPr>
          <w:rFonts w:ascii="Times New Roman" w:hAnsi="Times New Roman"/>
          <w:sz w:val="22"/>
        </w:rPr>
      </w:pPr>
      <w:r w:rsidRPr="00C74931">
        <w:rPr>
          <w:rFonts w:ascii="Times New Roman" w:hAnsi="Times New Roman" w:hint="eastAsia"/>
          <w:sz w:val="22"/>
        </w:rPr>
        <w:t>I</w:t>
      </w:r>
      <w:r w:rsidRPr="00C74931">
        <w:rPr>
          <w:rFonts w:ascii="Times New Roman" w:hAnsi="Times New Roman"/>
          <w:sz w:val="22"/>
        </w:rPr>
        <w:t xml:space="preserve">n this contribution we </w:t>
      </w:r>
      <w:r w:rsidR="00994170" w:rsidRPr="00C74931">
        <w:rPr>
          <w:rFonts w:ascii="Times New Roman" w:hAnsi="Times New Roman"/>
          <w:sz w:val="22"/>
        </w:rPr>
        <w:t xml:space="preserve">discuss </w:t>
      </w:r>
      <w:r w:rsidR="0034529D" w:rsidRPr="00C74931">
        <w:rPr>
          <w:rFonts w:ascii="Times New Roman" w:hAnsi="Times New Roman"/>
          <w:sz w:val="22"/>
        </w:rPr>
        <w:t xml:space="preserve">the </w:t>
      </w:r>
      <w:r w:rsidR="00C01111" w:rsidRPr="00C74931">
        <w:rPr>
          <w:rFonts w:ascii="Times New Roman" w:hAnsi="Times New Roman"/>
          <w:sz w:val="22"/>
        </w:rPr>
        <w:t xml:space="preserve">scenarios and </w:t>
      </w:r>
      <w:r w:rsidR="0034529D" w:rsidRPr="00C74931">
        <w:rPr>
          <w:rFonts w:ascii="Times New Roman" w:hAnsi="Times New Roman"/>
          <w:sz w:val="22"/>
        </w:rPr>
        <w:t>possible contents of common signalling in NTN for CONNECTED mobility</w:t>
      </w:r>
      <w:r w:rsidRPr="00C74931">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28A77C4" w14:textId="0E5F6A28" w:rsidR="0034529D" w:rsidRPr="00C74931" w:rsidRDefault="0034529D" w:rsidP="00994170">
      <w:pPr>
        <w:rPr>
          <w:rFonts w:ascii="Times New Roman" w:hAnsi="Times New Roman"/>
          <w:sz w:val="22"/>
        </w:rPr>
      </w:pPr>
      <w:r w:rsidRPr="00C74931">
        <w:rPr>
          <w:rFonts w:ascii="Times New Roman" w:hAnsi="Times New Roman"/>
          <w:sz w:val="22"/>
        </w:rPr>
        <w:t>In Rel-17 NTN the configuration for CONNECTED mobility follows legacy mechanism of per UE configuration, including the original configurations for TN and/or the NTN-specific configurations (e.g., location/time-based metric and target cell ephemeris data). Due to the large coverage of NTN cells and consequent large UE number, the signalling overhead for CONNECTED mobility in an NTN cell is much more than that in a TN cell before and after handover. Meanwhile, the characteristics of NTN cells also bring the possibility of reducing signalling overhead. As a starting point, RAN2 agreed to consider providing information for CONNECTED mobility in common signalling.</w:t>
      </w:r>
    </w:p>
    <w:p w14:paraId="7D7828C4" w14:textId="13B7EC81" w:rsidR="00C74931" w:rsidRPr="00C74931" w:rsidRDefault="00C74931" w:rsidP="00994170">
      <w:pPr>
        <w:rPr>
          <w:rFonts w:ascii="Times New Roman" w:hAnsi="Times New Roman"/>
          <w:sz w:val="22"/>
        </w:rPr>
      </w:pPr>
      <w:r w:rsidRPr="00C74931">
        <w:rPr>
          <w:rFonts w:ascii="Times New Roman" w:hAnsi="Times New Roman"/>
          <w:sz w:val="22"/>
        </w:rPr>
        <w:t xml:space="preserve">Several scenarios are involved in NTN CONNECTED mobility. Figure 1 shows some examples </w:t>
      </w:r>
      <w:r w:rsidRPr="00C74931">
        <w:rPr>
          <w:rFonts w:ascii="Times New Roman" w:hAnsi="Times New Roman" w:hint="eastAsia"/>
          <w:sz w:val="22"/>
        </w:rPr>
        <w:t>that</w:t>
      </w:r>
      <w:r w:rsidRPr="00C74931">
        <w:rPr>
          <w:rFonts w:ascii="Times New Roman" w:hAnsi="Times New Roman"/>
          <w:sz w:val="22"/>
        </w:rPr>
        <w:t xml:space="preserve"> may benefit from common signalling</w:t>
      </w:r>
      <w:r w:rsidR="00404F85">
        <w:rPr>
          <w:rFonts w:ascii="Times New Roman" w:hAnsi="Times New Roman"/>
          <w:sz w:val="22"/>
        </w:rPr>
        <w:t xml:space="preserve">, i.e., </w:t>
      </w:r>
      <w:r w:rsidR="00404F85" w:rsidRPr="00404F85">
        <w:rPr>
          <w:rFonts w:ascii="Times New Roman" w:hAnsi="Times New Roman"/>
          <w:sz w:val="22"/>
        </w:rPr>
        <w:t>some or all UEs in an NTN cell may have similar handover requirement and thus can use similar configurations for CONNECTED mobility.</w:t>
      </w:r>
    </w:p>
    <w:p w14:paraId="2F9B44AB" w14:textId="0366FE5C" w:rsidR="00404F85" w:rsidRPr="00404F85" w:rsidRDefault="00404F85">
      <w:pPr>
        <w:pStyle w:val="a6"/>
        <w:numPr>
          <w:ilvl w:val="0"/>
          <w:numId w:val="9"/>
        </w:numPr>
        <w:ind w:firstLineChars="0"/>
        <w:rPr>
          <w:sz w:val="22"/>
          <w:szCs w:val="22"/>
        </w:rPr>
      </w:pPr>
      <w:r w:rsidRPr="00404F85">
        <w:rPr>
          <w:sz w:val="22"/>
          <w:szCs w:val="22"/>
        </w:rPr>
        <w:t>Case A: For both GEO and LEO, due to the large coverage, candidate target cells could be similar for UEs at similar locations in an NTN source cell.</w:t>
      </w:r>
    </w:p>
    <w:p w14:paraId="72A61767" w14:textId="1B712E05" w:rsidR="00404F85" w:rsidRPr="00404F85" w:rsidRDefault="00404F85">
      <w:pPr>
        <w:pStyle w:val="a6"/>
        <w:numPr>
          <w:ilvl w:val="0"/>
          <w:numId w:val="9"/>
        </w:numPr>
        <w:ind w:firstLineChars="0"/>
        <w:rPr>
          <w:sz w:val="22"/>
          <w:szCs w:val="22"/>
        </w:rPr>
      </w:pPr>
      <w:r w:rsidRPr="00404F85">
        <w:rPr>
          <w:sz w:val="22"/>
          <w:szCs w:val="22"/>
        </w:rPr>
        <w:t>Case B: For LEO wherein mobility is mainly caused by satellite movement, in earth-moving cells, candidate target cell as well as the time window for mobility execution could be similar for UEs at similar locations in an NTN source cell. If the candidate target cell and the source are generated by the same satellite (i.e., intra-satellite Case B1), the UE does no need to update its TA for uplink synchronization after mobility.</w:t>
      </w:r>
    </w:p>
    <w:p w14:paraId="68DCCEF7" w14:textId="5D021B58" w:rsidR="00404F85" w:rsidRPr="00404F85" w:rsidRDefault="00404F85">
      <w:pPr>
        <w:pStyle w:val="a6"/>
        <w:numPr>
          <w:ilvl w:val="0"/>
          <w:numId w:val="9"/>
        </w:numPr>
        <w:ind w:firstLineChars="0"/>
        <w:rPr>
          <w:sz w:val="22"/>
          <w:szCs w:val="22"/>
        </w:rPr>
      </w:pPr>
      <w:r w:rsidRPr="00404F85">
        <w:rPr>
          <w:sz w:val="22"/>
          <w:szCs w:val="22"/>
        </w:rPr>
        <w:t>Case C: For LEO wherein mobility is mainly caused by satellite movement, in quasi-earth-fixed cells, candidate target cell as well as the time window for mobility execution could the same for all UEs in an NTN source cell. If the candidate target cell and the source are generated by the same satellite (i.e., intra-satellite Case C1), the UE does no need to update its TA for uplink synchronization after mobility. In particular, if network can implement cell identity unchanged (i.e., Cell #2 inherits the cell identity and configurations of Cell #1 after it replaces Cell #1 coverage), the UE may not need to perform random access after mobility.</w:t>
      </w:r>
    </w:p>
    <w:p w14:paraId="0F5791DE" w14:textId="0DE02898" w:rsidR="00404F85" w:rsidRPr="00404F85" w:rsidRDefault="00404F85">
      <w:pPr>
        <w:pStyle w:val="a6"/>
        <w:numPr>
          <w:ilvl w:val="0"/>
          <w:numId w:val="9"/>
        </w:numPr>
        <w:ind w:firstLineChars="0"/>
        <w:rPr>
          <w:sz w:val="22"/>
          <w:szCs w:val="22"/>
        </w:rPr>
      </w:pPr>
      <w:r w:rsidRPr="00404F85">
        <w:rPr>
          <w:sz w:val="22"/>
          <w:szCs w:val="22"/>
        </w:rPr>
        <w:lastRenderedPageBreak/>
        <w:t>Case D: For LEO feeder link switch wherein the serving satellite changes its connection to another BS, candidate target cell as well as the time window for mobility execution could the same for all UEs in an NTN source cell. The UE does no need to update its TA for uplink synchronization after mobility. In particular, if network can implement cell identity unchanged (i.e., Cell #2 inherits the cell identity and configurations of Cell #1 after it replaces Cell #1 coverage), the UE may not need to perform random access after mobility.</w:t>
      </w:r>
    </w:p>
    <w:p w14:paraId="5CE6C79C" w14:textId="77777777" w:rsidR="00404F85" w:rsidRPr="00404F85" w:rsidRDefault="00404F85" w:rsidP="00404F85">
      <w:pPr>
        <w:spacing w:beforeLines="50" w:before="156" w:afterLines="50" w:after="156"/>
        <w:jc w:val="center"/>
        <w:rPr>
          <w:rFonts w:ascii="Times New Roman" w:eastAsiaTheme="minorEastAsia" w:hAnsi="Times New Roman"/>
        </w:rPr>
      </w:pPr>
      <w:r w:rsidRPr="00404F85">
        <w:rPr>
          <w:rFonts w:ascii="Times New Roman" w:eastAsiaTheme="minorEastAsia" w:hAnsi="Times New Roman"/>
          <w:noProof/>
        </w:rPr>
        <w:drawing>
          <wp:inline distT="0" distB="0" distL="0" distR="0" wp14:anchorId="2669BD14" wp14:editId="3A3F53A9">
            <wp:extent cx="6164335" cy="34909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4335" cy="3490951"/>
                    </a:xfrm>
                    <a:prstGeom prst="rect">
                      <a:avLst/>
                    </a:prstGeom>
                    <a:noFill/>
                  </pic:spPr>
                </pic:pic>
              </a:graphicData>
            </a:graphic>
          </wp:inline>
        </w:drawing>
      </w:r>
    </w:p>
    <w:p w14:paraId="1C849C37" w14:textId="5356AD42" w:rsidR="00404F85" w:rsidRPr="00404F85" w:rsidRDefault="00404F85" w:rsidP="00404F85">
      <w:pPr>
        <w:spacing w:beforeLines="50" w:before="156" w:afterLines="50" w:after="156"/>
        <w:jc w:val="center"/>
        <w:rPr>
          <w:rFonts w:ascii="Times New Roman" w:eastAsiaTheme="minorEastAsia" w:hAnsi="Times New Roman"/>
        </w:rPr>
      </w:pPr>
      <w:r w:rsidRPr="00404F85">
        <w:rPr>
          <w:rFonts w:ascii="Times New Roman" w:eastAsiaTheme="minorEastAsia" w:hAnsi="Times New Roman"/>
        </w:rPr>
        <w:t>Figure 1: Example</w:t>
      </w:r>
      <w:r>
        <w:rPr>
          <w:rFonts w:ascii="Times New Roman" w:eastAsiaTheme="minorEastAsia" w:hAnsi="Times New Roman"/>
        </w:rPr>
        <w:t xml:space="preserve"> scenarios</w:t>
      </w:r>
      <w:r w:rsidRPr="00404F85">
        <w:rPr>
          <w:rFonts w:ascii="Times New Roman" w:eastAsiaTheme="minorEastAsia" w:hAnsi="Times New Roman"/>
        </w:rPr>
        <w:t xml:space="preserve"> in NTN that may benefit from common signalling</w:t>
      </w:r>
    </w:p>
    <w:p w14:paraId="5D943D6E" w14:textId="2D83AA5F" w:rsidR="003967DF" w:rsidRPr="00404F85" w:rsidRDefault="0034529D" w:rsidP="00994170">
      <w:pPr>
        <w:rPr>
          <w:rFonts w:ascii="Times New Roman" w:hAnsi="Times New Roman"/>
          <w:sz w:val="22"/>
        </w:rPr>
      </w:pPr>
      <w:r w:rsidRPr="00404F85">
        <w:rPr>
          <w:rFonts w:ascii="Times New Roman" w:hAnsi="Times New Roman" w:hint="eastAsia"/>
          <w:sz w:val="22"/>
        </w:rPr>
        <w:t>F</w:t>
      </w:r>
      <w:r w:rsidRPr="00404F85">
        <w:rPr>
          <w:rFonts w:ascii="Times New Roman" w:hAnsi="Times New Roman"/>
          <w:sz w:val="22"/>
        </w:rPr>
        <w:t xml:space="preserve">or the common signalling, the first issue is to identify what contents can be included for CONNECTED mobility. </w:t>
      </w:r>
      <w:r w:rsidR="003967DF" w:rsidRPr="00404F85">
        <w:rPr>
          <w:rFonts w:ascii="Times New Roman" w:hAnsi="Times New Roman"/>
          <w:sz w:val="22"/>
        </w:rPr>
        <w:t>The following bullets can be considered from RAN2 perspective:</w:t>
      </w:r>
    </w:p>
    <w:p w14:paraId="164F91D1" w14:textId="55981C46" w:rsidR="0034529D" w:rsidRPr="00404F85" w:rsidRDefault="003967DF">
      <w:pPr>
        <w:pStyle w:val="a6"/>
        <w:numPr>
          <w:ilvl w:val="0"/>
          <w:numId w:val="8"/>
        </w:numPr>
        <w:ind w:firstLineChars="0"/>
        <w:rPr>
          <w:sz w:val="22"/>
          <w:szCs w:val="22"/>
        </w:rPr>
      </w:pPr>
      <w:r w:rsidRPr="00404F85">
        <w:rPr>
          <w:b/>
          <w:bCs/>
          <w:sz w:val="22"/>
          <w:szCs w:val="22"/>
        </w:rPr>
        <w:t>Target cell ephemeris data.</w:t>
      </w:r>
      <w:r w:rsidRPr="00404F85">
        <w:rPr>
          <w:sz w:val="22"/>
          <w:szCs w:val="22"/>
        </w:rPr>
        <w:t xml:space="preserve"> The ephemeris is necessary for uplink synchronization</w:t>
      </w:r>
      <w:r w:rsidR="001906C5" w:rsidRPr="00404F85">
        <w:rPr>
          <w:sz w:val="22"/>
          <w:szCs w:val="22"/>
        </w:rPr>
        <w:t xml:space="preserve"> after handover, and is a common set of parameters to all UEs with mobility to the same target cell. Meanwhile, as already supported in </w:t>
      </w:r>
      <w:r w:rsidR="001906C5" w:rsidRPr="00404F85">
        <w:rPr>
          <w:rFonts w:hint="eastAsia"/>
          <w:sz w:val="22"/>
          <w:szCs w:val="22"/>
          <w:lang w:eastAsia="zh-CN"/>
        </w:rPr>
        <w:t>Rel-17</w:t>
      </w:r>
      <w:r w:rsidR="001906C5" w:rsidRPr="00404F85">
        <w:rPr>
          <w:sz w:val="22"/>
          <w:szCs w:val="22"/>
        </w:rPr>
        <w:t xml:space="preserve"> NR </w:t>
      </w:r>
      <w:r w:rsidR="001906C5" w:rsidRPr="00404F85">
        <w:rPr>
          <w:rFonts w:hint="eastAsia"/>
          <w:sz w:val="22"/>
          <w:szCs w:val="22"/>
          <w:lang w:eastAsia="zh-CN"/>
        </w:rPr>
        <w:t>NTN</w:t>
      </w:r>
      <w:r w:rsidR="001906C5" w:rsidRPr="00404F85">
        <w:rPr>
          <w:rFonts w:hint="eastAsia"/>
          <w:sz w:val="22"/>
          <w:szCs w:val="22"/>
        </w:rPr>
        <w:t>,</w:t>
      </w:r>
      <w:r w:rsidR="001906C5" w:rsidRPr="00404F85">
        <w:rPr>
          <w:sz w:val="22"/>
          <w:szCs w:val="22"/>
        </w:rPr>
        <w:t xml:space="preserve"> SIB19 may also include the ephemeris data of a target cell. Therefore ephemeris data of target cell could be included in common signalling for CONNECTED mobility, at least as a </w:t>
      </w:r>
      <w:r w:rsidR="001906C5" w:rsidRPr="00404F85">
        <w:rPr>
          <w:rFonts w:hint="eastAsia"/>
          <w:sz w:val="22"/>
          <w:szCs w:val="22"/>
          <w:lang w:eastAsia="zh-CN"/>
        </w:rPr>
        <w:t>supplement</w:t>
      </w:r>
      <w:r w:rsidR="001906C5" w:rsidRPr="00404F85">
        <w:rPr>
          <w:sz w:val="22"/>
          <w:szCs w:val="22"/>
        </w:rPr>
        <w:t xml:space="preserve"> </w:t>
      </w:r>
      <w:r w:rsidR="001906C5" w:rsidRPr="00404F85">
        <w:rPr>
          <w:rFonts w:hint="eastAsia"/>
          <w:sz w:val="22"/>
          <w:szCs w:val="22"/>
          <w:lang w:eastAsia="zh-CN"/>
        </w:rPr>
        <w:t>in</w:t>
      </w:r>
      <w:r w:rsidR="001906C5" w:rsidRPr="00404F85">
        <w:rPr>
          <w:sz w:val="22"/>
          <w:szCs w:val="22"/>
        </w:rPr>
        <w:t xml:space="preserve"> </w:t>
      </w:r>
      <w:r w:rsidR="001906C5" w:rsidRPr="00404F85">
        <w:rPr>
          <w:rFonts w:hint="eastAsia"/>
          <w:sz w:val="22"/>
          <w:szCs w:val="22"/>
          <w:lang w:eastAsia="zh-CN"/>
        </w:rPr>
        <w:t>case</w:t>
      </w:r>
      <w:r w:rsidR="001906C5" w:rsidRPr="00404F85">
        <w:rPr>
          <w:sz w:val="22"/>
          <w:szCs w:val="22"/>
        </w:rPr>
        <w:t xml:space="preserve"> not included in SIB19. Besides the ephemeris itself, its </w:t>
      </w:r>
      <w:r w:rsidR="001906C5" w:rsidRPr="00404F85">
        <w:rPr>
          <w:rFonts w:hint="eastAsia"/>
          <w:sz w:val="22"/>
          <w:szCs w:val="22"/>
          <w:lang w:eastAsia="zh-CN"/>
        </w:rPr>
        <w:t>auxiliary</w:t>
      </w:r>
      <w:r w:rsidR="001906C5" w:rsidRPr="00404F85">
        <w:rPr>
          <w:sz w:val="22"/>
          <w:szCs w:val="22"/>
        </w:rPr>
        <w:t xml:space="preserve"> information including epoch time, validity duration and common TA could be included as well.</w:t>
      </w:r>
    </w:p>
    <w:p w14:paraId="05CFBEE2" w14:textId="023E6842" w:rsidR="00F57080" w:rsidRPr="00404F85" w:rsidRDefault="00F57080">
      <w:pPr>
        <w:pStyle w:val="a6"/>
        <w:numPr>
          <w:ilvl w:val="0"/>
          <w:numId w:val="8"/>
        </w:numPr>
        <w:ind w:firstLineChars="0"/>
        <w:rPr>
          <w:sz w:val="22"/>
          <w:szCs w:val="22"/>
        </w:rPr>
      </w:pPr>
      <w:r w:rsidRPr="00404F85">
        <w:rPr>
          <w:rFonts w:hint="eastAsia"/>
          <w:b/>
          <w:bCs/>
          <w:sz w:val="22"/>
          <w:szCs w:val="22"/>
        </w:rPr>
        <w:t>T</w:t>
      </w:r>
      <w:r w:rsidRPr="00404F85">
        <w:rPr>
          <w:b/>
          <w:bCs/>
          <w:sz w:val="22"/>
          <w:szCs w:val="22"/>
        </w:rPr>
        <w:t>arget cell configurations regarding CONNECTED mobility</w:t>
      </w:r>
      <w:r w:rsidRPr="00404F85">
        <w:rPr>
          <w:sz w:val="22"/>
          <w:szCs w:val="22"/>
        </w:rPr>
        <w:t>. As the destination of handover, the target cell may prepare its configuration for the UE, including preamble configuration for CBRA, uplink resource configuration for CFRA and RACH-less HO, and possibly random access initiation timing information e.g., backoff indicator if supported.</w:t>
      </w:r>
    </w:p>
    <w:p w14:paraId="47819447" w14:textId="3E32EA88" w:rsidR="001906C5" w:rsidRPr="00404F85" w:rsidRDefault="001906C5">
      <w:pPr>
        <w:pStyle w:val="a6"/>
        <w:numPr>
          <w:ilvl w:val="0"/>
          <w:numId w:val="8"/>
        </w:numPr>
        <w:ind w:firstLineChars="0"/>
        <w:rPr>
          <w:sz w:val="22"/>
          <w:szCs w:val="22"/>
        </w:rPr>
      </w:pPr>
      <w:r w:rsidRPr="00404F85">
        <w:rPr>
          <w:b/>
          <w:bCs/>
          <w:sz w:val="22"/>
          <w:szCs w:val="22"/>
        </w:rPr>
        <w:t>Mobility scenario indication</w:t>
      </w:r>
      <w:r w:rsidRPr="00404F85">
        <w:rPr>
          <w:sz w:val="22"/>
          <w:szCs w:val="22"/>
        </w:rPr>
        <w:t>.</w:t>
      </w:r>
      <w:r w:rsidR="00BE5D75" w:rsidRPr="00404F85">
        <w:rPr>
          <w:sz w:val="22"/>
          <w:szCs w:val="22"/>
        </w:rPr>
        <w:t xml:space="preserve"> One could be indicating intra- or inter-satellite mobility, either </w:t>
      </w:r>
      <w:r w:rsidR="00A03BAB" w:rsidRPr="00404F85">
        <w:rPr>
          <w:sz w:val="22"/>
          <w:szCs w:val="22"/>
        </w:rPr>
        <w:t xml:space="preserve">as </w:t>
      </w:r>
      <w:r w:rsidR="00BE5D75" w:rsidRPr="00404F85">
        <w:rPr>
          <w:sz w:val="22"/>
          <w:szCs w:val="22"/>
        </w:rPr>
        <w:t>an explicit indication or imp</w:t>
      </w:r>
      <w:r w:rsidR="00A03BAB" w:rsidRPr="00404F85">
        <w:rPr>
          <w:sz w:val="22"/>
          <w:szCs w:val="22"/>
        </w:rPr>
        <w:t>licitly indicates e.g., with target cell satellite identity. For intra-satellite mobility case, the UE may not need to recalculate its UE-specific timing advance to be compensated for random access. Another could be indicating cell identity changed or unchanged, either as an explicit indication or implicitly indicates e.g., with target cell identity. For cell identity unchanged case, UE may omit random access procedures and directly initiates RRC reestablishment.</w:t>
      </w:r>
    </w:p>
    <w:p w14:paraId="7C03ED94" w14:textId="7778EEC0" w:rsidR="001906C5" w:rsidRPr="00404F85" w:rsidRDefault="00265564" w:rsidP="00994170">
      <w:pPr>
        <w:rPr>
          <w:rFonts w:ascii="Times New Roman" w:hAnsi="Times New Roman"/>
          <w:b/>
          <w:bCs/>
          <w:sz w:val="22"/>
        </w:rPr>
      </w:pPr>
      <w:r w:rsidRPr="00404F85">
        <w:rPr>
          <w:rFonts w:ascii="Times New Roman" w:hAnsi="Times New Roman" w:hint="eastAsia"/>
          <w:b/>
          <w:bCs/>
          <w:sz w:val="22"/>
        </w:rPr>
        <w:lastRenderedPageBreak/>
        <w:t>P</w:t>
      </w:r>
      <w:r w:rsidRPr="00404F85">
        <w:rPr>
          <w:rFonts w:ascii="Times New Roman" w:hAnsi="Times New Roman"/>
          <w:b/>
          <w:bCs/>
          <w:sz w:val="22"/>
        </w:rPr>
        <w:t>roposal 1: RAN2 to discuss what contents can be included in the common signalling for NTN CONNECTED mobility.</w:t>
      </w:r>
    </w:p>
    <w:p w14:paraId="2EDFD79C" w14:textId="021FAB6F" w:rsidR="001906C5" w:rsidRPr="00404F85" w:rsidRDefault="00C03CE4" w:rsidP="00994170">
      <w:pPr>
        <w:rPr>
          <w:rFonts w:ascii="Times New Roman" w:hAnsi="Times New Roman"/>
          <w:sz w:val="22"/>
        </w:rPr>
      </w:pPr>
      <w:r w:rsidRPr="00404F85">
        <w:rPr>
          <w:rFonts w:ascii="Times New Roman" w:hAnsi="Times New Roman"/>
          <w:sz w:val="22"/>
        </w:rPr>
        <w:t xml:space="preserve">Another issue for the common signalling is which UEs can apply it for CONNECTED mobility, i.e., the granularity. </w:t>
      </w:r>
      <w:r w:rsidR="002B63C7" w:rsidRPr="00404F85">
        <w:rPr>
          <w:rFonts w:ascii="Times New Roman" w:hAnsi="Times New Roman"/>
          <w:sz w:val="22"/>
        </w:rPr>
        <w:t>Based on the previous contributions and discussions, the common signalling, from its purpose and method of indication, shall at least support an option of being applied by all UEs in the serving NTN cell. If the serving cell configures to broadcast the common signalling for CONNECTED mobility, it is most likely that all UEs are expected to use it for handover.</w:t>
      </w:r>
      <w:r w:rsidR="00404F85" w:rsidRPr="00404F85">
        <w:rPr>
          <w:rFonts w:ascii="Times New Roman" w:hAnsi="Times New Roman" w:hint="eastAsia"/>
          <w:sz w:val="22"/>
        </w:rPr>
        <w:t xml:space="preserve"> M</w:t>
      </w:r>
      <w:r w:rsidR="00404F85" w:rsidRPr="00404F85">
        <w:rPr>
          <w:rFonts w:ascii="Times New Roman" w:hAnsi="Times New Roman"/>
          <w:sz w:val="22"/>
        </w:rPr>
        <w:t>eanwhile, contents that are common for all UEs will also limit the usage of common signalling.</w:t>
      </w:r>
      <w:r w:rsidR="00404F85">
        <w:rPr>
          <w:rFonts w:ascii="Times New Roman" w:hAnsi="Times New Roman"/>
          <w:sz w:val="22"/>
        </w:rPr>
        <w:t xml:space="preserve"> Other </w:t>
      </w:r>
      <w:r w:rsidR="00404F85" w:rsidRPr="00404F85">
        <w:rPr>
          <w:rFonts w:ascii="Times New Roman" w:hAnsi="Times New Roman"/>
          <w:sz w:val="22"/>
        </w:rPr>
        <w:t>granularit</w:t>
      </w:r>
      <w:r w:rsidR="00404F85">
        <w:rPr>
          <w:rFonts w:ascii="Times New Roman" w:hAnsi="Times New Roman"/>
          <w:sz w:val="22"/>
        </w:rPr>
        <w:t>ies including target-cell-specific and UE-group-specific (if group HO is supported) can be considered for more flexible configuration and usage.</w:t>
      </w:r>
    </w:p>
    <w:p w14:paraId="1329B6AE" w14:textId="70B02C98" w:rsidR="002B63C7" w:rsidRPr="00404F85" w:rsidRDefault="002B63C7" w:rsidP="00994170">
      <w:pPr>
        <w:rPr>
          <w:rFonts w:ascii="Times New Roman" w:hAnsi="Times New Roman"/>
          <w:b/>
          <w:bCs/>
          <w:sz w:val="22"/>
        </w:rPr>
      </w:pPr>
      <w:r w:rsidRPr="00404F85">
        <w:rPr>
          <w:rFonts w:ascii="Times New Roman" w:hAnsi="Times New Roman" w:hint="eastAsia"/>
          <w:b/>
          <w:bCs/>
          <w:sz w:val="22"/>
        </w:rPr>
        <w:t>P</w:t>
      </w:r>
      <w:r w:rsidRPr="00404F85">
        <w:rPr>
          <w:rFonts w:ascii="Times New Roman" w:hAnsi="Times New Roman"/>
          <w:b/>
          <w:bCs/>
          <w:sz w:val="22"/>
        </w:rPr>
        <w:t>roposal 2: The common signalling for NTN CONNECTED mobility can be at least applied by all UEs in the serving cell, i.e., serving-cell-specific.</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5FC8578B" w14:textId="22CF6D15" w:rsidR="000E18AA" w:rsidRPr="00404F85" w:rsidRDefault="00A90536" w:rsidP="003601EB">
      <w:pPr>
        <w:rPr>
          <w:rFonts w:ascii="Times New Roman" w:hAnsi="Times New Roman"/>
          <w:sz w:val="22"/>
        </w:rPr>
      </w:pPr>
      <w:r w:rsidRPr="00404F85">
        <w:rPr>
          <w:rFonts w:ascii="Times New Roman" w:hAnsi="Times New Roman"/>
          <w:sz w:val="22"/>
        </w:rPr>
        <w:t xml:space="preserve">In this contribution, </w:t>
      </w:r>
      <w:r w:rsidR="000E18AA" w:rsidRPr="00404F85">
        <w:rPr>
          <w:rFonts w:ascii="Times New Roman" w:hAnsi="Times New Roman"/>
          <w:sz w:val="22"/>
        </w:rPr>
        <w:t xml:space="preserve">we </w:t>
      </w:r>
      <w:r w:rsidR="003601EB" w:rsidRPr="00404F85">
        <w:rPr>
          <w:rFonts w:ascii="Times New Roman" w:hAnsi="Times New Roman"/>
          <w:sz w:val="22"/>
        </w:rPr>
        <w:t xml:space="preserve">discuss </w:t>
      </w:r>
      <w:r w:rsidR="00404F85" w:rsidRPr="00C74931">
        <w:rPr>
          <w:rFonts w:ascii="Times New Roman" w:hAnsi="Times New Roman"/>
          <w:sz w:val="22"/>
        </w:rPr>
        <w:t>the scenarios and possible contents of common signalling in NTN for CONNECTED mobility</w:t>
      </w:r>
      <w:r w:rsidR="00632713" w:rsidRPr="00404F85">
        <w:rPr>
          <w:rFonts w:ascii="Times New Roman" w:hAnsi="Times New Roman"/>
          <w:sz w:val="22"/>
        </w:rPr>
        <w:t>.</w:t>
      </w:r>
      <w:r w:rsidR="00160536" w:rsidRPr="00404F85">
        <w:rPr>
          <w:rFonts w:ascii="Times New Roman" w:hAnsi="Times New Roman"/>
          <w:sz w:val="22"/>
        </w:rPr>
        <w:t xml:space="preserve"> </w:t>
      </w:r>
      <w:r w:rsidR="000E18AA" w:rsidRPr="00404F85">
        <w:rPr>
          <w:rFonts w:ascii="Times New Roman" w:hAnsi="Times New Roman"/>
          <w:sz w:val="22"/>
        </w:rPr>
        <w:t>And we propose:</w:t>
      </w:r>
    </w:p>
    <w:p w14:paraId="07B9B5CB" w14:textId="77777777" w:rsidR="00404F85" w:rsidRPr="00404F85" w:rsidRDefault="00404F85" w:rsidP="00404F85">
      <w:pPr>
        <w:rPr>
          <w:rFonts w:ascii="Times New Roman" w:hAnsi="Times New Roman"/>
          <w:b/>
          <w:bCs/>
          <w:sz w:val="22"/>
        </w:rPr>
      </w:pPr>
      <w:r w:rsidRPr="00404F85">
        <w:rPr>
          <w:rFonts w:ascii="Times New Roman" w:hAnsi="Times New Roman" w:hint="eastAsia"/>
          <w:b/>
          <w:bCs/>
          <w:sz w:val="22"/>
        </w:rPr>
        <w:t>P</w:t>
      </w:r>
      <w:r w:rsidRPr="00404F85">
        <w:rPr>
          <w:rFonts w:ascii="Times New Roman" w:hAnsi="Times New Roman"/>
          <w:b/>
          <w:bCs/>
          <w:sz w:val="22"/>
        </w:rPr>
        <w:t>roposal 1: RAN2 to discuss what contents can be included in the common signalling for NTN CONNECTED mobility.</w:t>
      </w:r>
    </w:p>
    <w:p w14:paraId="57E24FBF" w14:textId="165F612B" w:rsidR="000E18AA" w:rsidRPr="00404F85" w:rsidRDefault="00404F85" w:rsidP="00404F85">
      <w:pPr>
        <w:rPr>
          <w:rFonts w:ascii="Times New Roman" w:hAnsi="Times New Roman"/>
          <w:b/>
          <w:bCs/>
          <w:sz w:val="22"/>
        </w:rPr>
      </w:pPr>
      <w:r w:rsidRPr="00404F85">
        <w:rPr>
          <w:rFonts w:ascii="Times New Roman" w:hAnsi="Times New Roman" w:hint="eastAsia"/>
          <w:b/>
          <w:bCs/>
          <w:sz w:val="22"/>
        </w:rPr>
        <w:t>P</w:t>
      </w:r>
      <w:r w:rsidRPr="00404F85">
        <w:rPr>
          <w:rFonts w:ascii="Times New Roman" w:hAnsi="Times New Roman"/>
          <w:b/>
          <w:bCs/>
          <w:sz w:val="22"/>
        </w:rPr>
        <w:t>roposal 2: The common signalling for NTN CONNECTED mobility can be at least applied by all UEs in the serving cell, i.e., serving-cell-specific.</w:t>
      </w:r>
    </w:p>
    <w:sectPr w:rsidR="000E18AA" w:rsidRPr="00404F8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00C1F" w14:textId="77777777" w:rsidR="00B13CD1" w:rsidRDefault="00B13CD1">
      <w:r>
        <w:separator/>
      </w:r>
    </w:p>
  </w:endnote>
  <w:endnote w:type="continuationSeparator" w:id="0">
    <w:p w14:paraId="7EF590C6" w14:textId="77777777" w:rsidR="00B13CD1" w:rsidRDefault="00B1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203D3" w14:textId="77777777" w:rsidR="00B13CD1" w:rsidRDefault="00B13CD1">
      <w:r>
        <w:separator/>
      </w:r>
    </w:p>
  </w:footnote>
  <w:footnote w:type="continuationSeparator" w:id="0">
    <w:p w14:paraId="7A7A1BA3" w14:textId="77777777" w:rsidR="00B13CD1" w:rsidRDefault="00B13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46E95"/>
    <w:multiLevelType w:val="hybridMultilevel"/>
    <w:tmpl w:val="0FCC41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680805"/>
    <w:multiLevelType w:val="hybridMultilevel"/>
    <w:tmpl w:val="8C74A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5304507">
    <w:abstractNumId w:val="4"/>
  </w:num>
  <w:num w:numId="2" w16cid:durableId="1259604324">
    <w:abstractNumId w:val="0"/>
  </w:num>
  <w:num w:numId="3" w16cid:durableId="1716657009">
    <w:abstractNumId w:val="8"/>
  </w:num>
  <w:num w:numId="4" w16cid:durableId="1144586254">
    <w:abstractNumId w:val="7"/>
  </w:num>
  <w:num w:numId="5" w16cid:durableId="124742656">
    <w:abstractNumId w:val="1"/>
  </w:num>
  <w:num w:numId="6" w16cid:durableId="2135515118">
    <w:abstractNumId w:val="3"/>
  </w:num>
  <w:num w:numId="7" w16cid:durableId="746999722">
    <w:abstractNumId w:val="5"/>
  </w:num>
  <w:num w:numId="8" w16cid:durableId="2095855376">
    <w:abstractNumId w:val="2"/>
  </w:num>
  <w:num w:numId="9" w16cid:durableId="92904457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71C"/>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1A55"/>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6C5"/>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CA9"/>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564"/>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3C7"/>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878"/>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29D"/>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7DF"/>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BF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4F85"/>
    <w:rsid w:val="00406795"/>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74C"/>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6DEC"/>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392"/>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BAB"/>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3CD1"/>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56E"/>
    <w:rsid w:val="00BD76EA"/>
    <w:rsid w:val="00BD7A0E"/>
    <w:rsid w:val="00BD7BDA"/>
    <w:rsid w:val="00BE0EE9"/>
    <w:rsid w:val="00BE1798"/>
    <w:rsid w:val="00BE22D0"/>
    <w:rsid w:val="00BE2622"/>
    <w:rsid w:val="00BE367C"/>
    <w:rsid w:val="00BE3BBA"/>
    <w:rsid w:val="00BE5105"/>
    <w:rsid w:val="00BE5512"/>
    <w:rsid w:val="00BE5D75"/>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111"/>
    <w:rsid w:val="00C020EE"/>
    <w:rsid w:val="00C0245A"/>
    <w:rsid w:val="00C03634"/>
    <w:rsid w:val="00C03CE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931"/>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A7F7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FD"/>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459"/>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080"/>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18D"/>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3</Pages>
  <Words>983</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105</cp:revision>
  <cp:lastPrinted>2012-10-30T00:20:00Z</cp:lastPrinted>
  <dcterms:created xsi:type="dcterms:W3CDTF">2020-08-03T07:44:00Z</dcterms:created>
  <dcterms:modified xsi:type="dcterms:W3CDTF">2023-02-17T01:38:00Z</dcterms:modified>
</cp:coreProperties>
</file>